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b/>
          <w:b/>
          <w:bCs/>
        </w:rPr>
      </w:pPr>
      <w:r>
        <w:rPr>
          <w:b/>
          <w:bCs/>
        </w:rPr>
      </w:r>
    </w:p>
    <w:p>
      <w:pPr>
        <w:pStyle w:val="Normal"/>
        <w:spacing w:lineRule="auto" w:line="240"/>
        <w:rPr>
          <w:b/>
          <w:b/>
          <w:bCs/>
        </w:rPr>
      </w:pPr>
      <w:r>
        <w:rPr>
          <w:b/>
          <w:bCs/>
        </w:rPr>
      </w:r>
    </w:p>
    <w:p>
      <w:pPr>
        <w:pStyle w:val="Normal"/>
        <w:spacing w:lineRule="auto" w:line="240"/>
        <w:jc w:val="center"/>
        <w:rPr>
          <w:b/>
          <w:b/>
          <w:bCs/>
          <w:sz w:val="28"/>
          <w:szCs w:val="28"/>
        </w:rPr>
      </w:pPr>
      <w:r>
        <w:rPr>
          <w:b/>
          <w:bCs/>
          <w:sz w:val="28"/>
          <w:szCs w:val="28"/>
        </w:rPr>
        <w:t>Prologue to Part I: Where Else Shall We Go?</w:t>
      </w:r>
    </w:p>
    <w:p>
      <w:pPr>
        <w:pStyle w:val="Normal"/>
        <w:spacing w:lineRule="auto" w:line="240"/>
        <w:rPr/>
      </w:pPr>
      <w:r>
        <w:rPr/>
      </w:r>
    </w:p>
    <w:p>
      <w:pPr>
        <w:pStyle w:val="Normal"/>
        <w:spacing w:lineRule="auto" w:line="240"/>
        <w:rPr/>
      </w:pPr>
      <w:r>
        <w:rPr/>
      </w:r>
    </w:p>
    <w:p>
      <w:pPr>
        <w:pStyle w:val="Normal"/>
        <w:spacing w:lineRule="auto" w:line="240"/>
        <w:rPr/>
      </w:pPr>
      <w:r>
        <w:rPr/>
        <w:tab/>
        <w:t xml:space="preserve">Sherlock Holmes told Doctor Watson that, “When one has eliminated all the other possibilities, the one that is left, no matter how improbable, is the truth.” There is a certain logic to this way of thinking, perhaps a logic as simple as </w:t>
      </w:r>
      <w:r>
        <w:rPr/>
        <w:t xml:space="preserve">saying: </w:t>
      </w:r>
      <w:r>
        <w:rPr/>
        <w:t>“</w:t>
      </w:r>
      <w:r>
        <w:rPr/>
        <w:t xml:space="preserve">It's either </w:t>
      </w:r>
      <w:r>
        <w:rPr/>
        <w:t xml:space="preserve">A or B; </w:t>
      </w:r>
      <w:r>
        <w:rPr/>
        <w:t xml:space="preserve">it's </w:t>
      </w:r>
      <w:r>
        <w:rPr/>
        <w:t xml:space="preserve">not A; therefore </w:t>
      </w:r>
      <w:r>
        <w:rPr/>
        <w:t xml:space="preserve">it is </w:t>
      </w:r>
      <w:r>
        <w:rPr/>
        <w:t>B.” Of course the options in many cases, certainly in many of Holmes’ cases, is not a matter of “A or B.” The first premise is rather something more like “A or B or C or D…” and therefore, the second and ensuing premises must eliminate a whole series of possibilities. But it does seem logical, that if I have a series of ten options, and if I can eliminate nine, then the one remaining is the truth. Or at least it is the best option left.</w:t>
      </w:r>
    </w:p>
    <w:p>
      <w:pPr>
        <w:pStyle w:val="Normal"/>
        <w:spacing w:lineRule="auto" w:line="240"/>
        <w:rPr/>
      </w:pPr>
      <w:r>
        <w:rPr/>
        <w:tab/>
        <w:t xml:space="preserve">It may perhaps seem backwards to approach religious apologetics in this manner, but that is the purpose of the following dialogues. The options represent worldviews, whole and consistent ways of seeing the world, more than they represent religions </w:t>
      </w:r>
      <w:r>
        <w:rPr>
          <w:i/>
        </w:rPr>
        <w:t>per se</w:t>
      </w:r>
      <w:r>
        <w:rPr/>
        <w:t>, for they contain ideologies like pluralism and materialism that might seem to contain many religions or deny them altogether. Moreover, when one claims to be discussing something as complex as Buddhism, or even something as supposedly monolithic as Islam, we must admit that no religion and no worldview is a single, simple set of doctrines and practices. Buddhists and Muslims – and for that matter, materialists and humanists – will come in many colors and many flavors. It is impossible to explore one set of ideas in a single chapter and think one has dealt with all the arguments and all the variations of that philosophy. All of this is to admit that an effort to pursue apologetic arguments by looking at all the alternatives is necessarily incomplete. But, if Holmes and the disjunctive syllogism are correct, it is not unreasonable.</w:t>
      </w:r>
    </w:p>
    <w:p>
      <w:pPr>
        <w:pStyle w:val="Normal"/>
        <w:spacing w:lineRule="auto" w:line="240"/>
        <w:rPr/>
      </w:pPr>
      <w:r>
        <w:rPr/>
        <w:tab/>
        <w:t xml:space="preserve">From a more Christian perspective, the approach of these chapters is justified, as the </w:t>
      </w:r>
      <w:r>
        <w:rPr/>
        <w:t xml:space="preserve">book's </w:t>
      </w:r>
      <w:r>
        <w:rPr/>
        <w:t>title suggests, by John 6:68. The context of this verse is important, for it sets up a situation in which real problems have arisen for those listening to Jesus, and a number of people have ceased to follow him. Apparently, Jesus has just declared that he himself is the giver of eternal life, and even today, for those who would like to see Jesus as a great moralist or even a prophet, the idea of Jesus as savior can be – and perhaps should be – troubling. In th</w:t>
      </w:r>
      <w:r>
        <w:rPr/>
        <w:t>at</w:t>
      </w:r>
      <w:r>
        <w:rPr/>
        <w:t xml:space="preserve"> original context, however, he ha</w:t>
      </w:r>
      <w:r>
        <w:rPr/>
        <w:t>d</w:t>
      </w:r>
      <w:r>
        <w:rPr/>
        <w:t xml:space="preserve"> couched the assertion of his own importance in the metaphor of food, calling himself “the bread of life.” Even more, he </w:t>
      </w:r>
      <w:r>
        <w:rPr/>
        <w:t>went</w:t>
      </w:r>
      <w:r>
        <w:rPr/>
        <w:t xml:space="preserve"> on to say that those who follow him must eat his flesh and drink his blood, or they have no life within them. As Christians read these words two thousand years later, they see perhaps a comfortable image for the Eucharist, the Christian ritual in which believers eat bread and drink wine as symbols – or indeed as foods transmuted into the very real substance – of Jesus' flesh and blood. But before it was a remark about the Eucharist, it was a shock to the audience that heard Jesus telling them to eat his flesh. “This is a hard thing to listen to,” they said, quite reasonably and realistically. And </w:t>
      </w:r>
      <w:r>
        <w:rPr/>
        <w:t>so</w:t>
      </w:r>
      <w:r>
        <w:rPr/>
        <w:t xml:space="preserve"> they withdrew. At this point, Jesus turn</w:t>
      </w:r>
      <w:r>
        <w:rPr/>
        <w:t>ed</w:t>
      </w:r>
      <w:r>
        <w:rPr/>
        <w:t xml:space="preserve"> to his innermost disciples and asks, “And what about you? Will you also go away?” And it </w:t>
      </w:r>
      <w:r>
        <w:rPr/>
        <w:t>wa</w:t>
      </w:r>
      <w:r>
        <w:rPr/>
        <w:t>s Peter who respond</w:t>
      </w:r>
      <w:r>
        <w:rPr/>
        <w:t>ed</w:t>
      </w:r>
      <w:r>
        <w:rPr/>
        <w:t>: “Where else shall we go? It is you that holds the words of eternal life.”</w:t>
      </w:r>
    </w:p>
    <w:p>
      <w:pPr>
        <w:pStyle w:val="Normal"/>
        <w:spacing w:lineRule="auto" w:line="240"/>
        <w:rPr/>
      </w:pPr>
      <w:r>
        <w:rPr/>
        <w:tab/>
        <w:t>And so we have the project of this book. “Where else shall we go?” is a question taken here not merely as rhetorical, but as a challenge to look at the options. Where else indeed? Shall we go to non-religious philosophies, like materialism or humanism? Shall we go to other religions, like Hinduism or Islam? These are real options, and they deserve our real interest. And so this book runs through – in a necessarily incomplete way – a list of philosophies and religions to consider if we can "go there." And the answer in each case is argued: No.</w:t>
      </w:r>
    </w:p>
    <w:p>
      <w:pPr>
        <w:pStyle w:val="Normal"/>
        <w:spacing w:lineRule="auto" w:line="240"/>
        <w:rPr/>
      </w:pPr>
      <w:r>
        <w:rPr/>
        <w:tab/>
        <w:t xml:space="preserve">In an effort to consider the different options fairly, </w:t>
      </w:r>
      <w:r>
        <w:rPr/>
        <w:t xml:space="preserve">each of the next nine chapters </w:t>
      </w:r>
      <w:r>
        <w:rPr/>
        <w:t xml:space="preserve">presents </w:t>
      </w:r>
      <w:r>
        <w:rPr/>
        <w:t>a religious or non-religious worldview through</w:t>
      </w:r>
      <w:r>
        <w:rPr/>
        <w:t xml:space="preserve"> voices defen</w:t>
      </w:r>
      <w:r>
        <w:rPr/>
        <w:t>ding</w:t>
      </w:r>
      <w:r>
        <w:rPr/>
        <w:t xml:space="preserve"> their own position. That is, each chapter has its own spokesperson into whose mouth the ideas of the worldview under consideration are placed. Of course it must be admitted that these “spokespersons” are not real people; they were invented, along with their arguments and position statements. So we cannot pretend that the positions presented here are perfectly authoritative. Of course the “Christian” here is also an invention, so he's not so authoritative either.</w:t>
      </w:r>
    </w:p>
    <w:p>
      <w:pPr>
        <w:pStyle w:val="Normal"/>
        <w:spacing w:lineRule="auto" w:line="240"/>
        <w:rPr/>
      </w:pPr>
      <w:r>
        <w:rPr/>
        <w:tab/>
        <w:t>One other point can be drawn from the context of John's Gospel: The great reply of Peter comes in the middle of a kind of crisis of belief. There are problems with what Jesus has said, and many people walk away from him because they cannot believe what he says. And they are right to doubt. Therefore, it is also right that we admit that there are possible problems with Christian belief and Christian practice. You will find throughout th</w:t>
      </w:r>
      <w:r>
        <w:rPr/>
        <w:t>ese nine chapters</w:t>
      </w:r>
      <w:r>
        <w:rPr/>
        <w:t xml:space="preserve"> that the Christian in the dialogue confesses a number of problems with Christianity, for we have to admit – and we will repeatedly emphasize – that showing the difficulty of believing in Humanism or Islam is not enough to defend Christianity against its own apparent difficulties. And that's why, after these next nine chapters, there are three more chapters that will attempt to defend Christianity more directly. But that will be Part II.</w:t>
      </w:r>
    </w:p>
    <w:p>
      <w:pPr>
        <w:pStyle w:val="Normal"/>
        <w:spacing w:lineRule="auto" w:line="240"/>
        <w:rPr/>
      </w:pPr>
      <w:r>
        <w:rPr/>
      </w:r>
    </w:p>
    <w:sectPr>
      <w:headerReference w:type="default" r:id="rId2"/>
      <w:footerReference w:type="default" r:id="rId3"/>
      <w:type w:val="nextPage"/>
      <w:pgSz w:w="12240" w:h="15840"/>
      <w:pgMar w:left="1800" w:right="1800" w:header="720" w:top="1613" w:footer="720" w:bottom="1239"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i/>
        <w:i/>
        <w:iCs/>
        <w:sz w:val="20"/>
        <w:szCs w:val="20"/>
      </w:rPr>
    </w:pPr>
    <w:r>
      <w:rPr>
        <w:i/>
        <w:iCs/>
        <w:sz w:val="20"/>
        <w:szCs w:val="20"/>
      </w:rPr>
      <w:t>Where Else Shall We Go?</w:t>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0"/>
        <w:szCs w:val="24"/>
        <w:lang w:val="en-US" w:eastAsia="zh-CN" w:bidi="hi-IN"/>
      </w:rPr>
    </w:rPrDefault>
    <w:pPrDefault>
      <w:pPr/>
    </w:pPrDefault>
  </w:docDefaults>
  <w:style w:type="paragraph" w:styleId="Normal">
    <w:name w:val="Normal"/>
    <w:qFormat/>
    <w:pPr>
      <w:widowControl w:val="false"/>
      <w:overflowPunct w:val="false"/>
      <w:bidi w:val="0"/>
      <w:jc w:val="left"/>
    </w:pPr>
    <w:rPr>
      <w:rFonts w:ascii="Times New Roman" w:hAnsi="Times New Roman" w:eastAsia="SimSun" w:cs="Mangal"/>
      <w:color w:val="00000A"/>
      <w:sz w:val="24"/>
      <w:szCs w:val="24"/>
      <w:lang w:val="zxx" w:eastAsia="zxx" w:bidi="zxx"/>
    </w:rPr>
  </w:style>
  <w:style w:type="character" w:styleId="EndnoteAnchor">
    <w:name w:val="Endnote Anchor"/>
    <w:rPr>
      <w:vertAlign w:val="superscript"/>
    </w:rPr>
  </w:style>
  <w:style w:type="character" w:styleId="WWEndnoteCharacters">
    <w:name w:val="WW-Endnote Characters"/>
    <w:qFormat/>
    <w:rPr/>
  </w:style>
  <w:style w:type="character" w:styleId="EndnoteCharacters">
    <w:name w:val="Endnote Characters"/>
    <w:qFormat/>
    <w:rPr>
      <w:vertAlign w:val="superscript"/>
    </w:rPr>
  </w:style>
  <w:style w:type="character" w:styleId="FootnoteAnchor">
    <w:name w:val="Footnote Anchor"/>
    <w:rPr>
      <w:vertAlign w:val="superscript"/>
    </w:rPr>
  </w:style>
  <w:style w:type="character" w:styleId="FootnoteCharacters">
    <w:name w:val="Footnote Characters"/>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1">
    <w:name w:val="WW-Absatz-Standardschriftart1"/>
    <w:qFormat/>
    <w:rPr/>
  </w:style>
  <w:style w:type="character" w:styleId="WWAbsatzStandardschriftart">
    <w:name w:val="WW-Absatz-Standardschriftart"/>
    <w:qFormat/>
    <w:rPr/>
  </w:style>
  <w:style w:type="paragraph" w:styleId="Heading">
    <w:name w:val="Heading"/>
    <w:basedOn w:val="Normal"/>
    <w:next w:val="TextBody"/>
    <w:qFormat/>
    <w:pPr>
      <w:keepNext/>
      <w:spacing w:before="240" w:after="120"/>
    </w:pPr>
    <w:rPr>
      <w:rFonts w:ascii="Arial" w:hAnsi="Arial" w:eastAsia="Andale Sans UI"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Footnote">
    <w:name w:val="Footnote Text"/>
    <w:basedOn w:val="Normal"/>
    <w:pPr>
      <w:suppressLineNumbers/>
      <w:spacing w:before="0" w:after="0"/>
      <w:ind w:left="339" w:right="0" w:hanging="339"/>
    </w:pPr>
    <w:rPr>
      <w:sz w:val="20"/>
      <w:szCs w:val="20"/>
    </w:rPr>
  </w:style>
  <w:style w:type="paragraph" w:styleId="Header">
    <w:name w:val="Header"/>
    <w:basedOn w:val="Normal"/>
    <w:pPr>
      <w:suppressLineNumbers/>
      <w:tabs>
        <w:tab w:val="center" w:pos="4818" w:leader="none"/>
        <w:tab w:val="right" w:pos="9637" w:leader="none"/>
      </w:tabs>
    </w:pPr>
    <w:rPr/>
  </w:style>
  <w:style w:type="paragraph" w:styleId="Footer">
    <w:name w:val="Foot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TotalTime>
  <Application>LibreOffice/5.3.3.2$Windows_x86 LibreOffice_project/3d9a8b4b4e538a85e0782bd6c2d430bafe583448</Application>
  <Pages>2</Pages>
  <Words>965</Words>
  <Characters>4559</Characters>
  <CharactersWithSpaces>5531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en-US</dc:language>
  <cp:lastModifiedBy/>
  <cp:lastPrinted>2012-09-21T22:10:09Z</cp:lastPrinted>
  <dcterms:modified xsi:type="dcterms:W3CDTF">2020-04-01T23:00:40Z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